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33" w:rsidRPr="00677A33" w:rsidRDefault="00677A33" w:rsidP="00677A33">
      <w:pPr>
        <w:jc w:val="both"/>
        <w:rPr>
          <w:rFonts w:ascii="Arial" w:hAnsi="Arial" w:cs="Arial"/>
          <w:b/>
          <w:smallCaps/>
          <w:sz w:val="28"/>
          <w:szCs w:val="28"/>
        </w:rPr>
      </w:pPr>
      <w:r w:rsidRPr="00677A33">
        <w:rPr>
          <w:rFonts w:ascii="Arial" w:hAnsi="Arial" w:cs="Arial"/>
          <w:b/>
          <w:smallCaps/>
          <w:sz w:val="28"/>
          <w:szCs w:val="28"/>
        </w:rPr>
        <w:t>Mezinárodní muzeum keramiky v Bechyni, Novodvorská 301, Bechyně</w:t>
      </w:r>
    </w:p>
    <w:p w:rsidR="00B07394" w:rsidRPr="00B07394" w:rsidRDefault="00B07394" w:rsidP="00A25660">
      <w:pPr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B07394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653358" cy="653358"/>
            <wp:effectExtent l="19050" t="0" r="0" b="0"/>
            <wp:docPr id="25" name="Obrázek 276" descr="Objekt_pristup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_pristupn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58" cy="65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394" w:rsidRPr="00B07394" w:rsidRDefault="00B07394" w:rsidP="00A25660">
      <w:pPr>
        <w:jc w:val="both"/>
        <w:rPr>
          <w:rFonts w:cstheme="minorHAnsi"/>
          <w:sz w:val="24"/>
          <w:szCs w:val="24"/>
        </w:rPr>
      </w:pP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75" name="Obrázek 13" descr="obtizny teren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tizny teren 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82" name="Obrázek 12" descr="obtizny sklon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tizny sklon 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83" name="Obrázek 11" descr="hlavni vchod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ni vchod 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84" name="Obrázek 10" descr="bocni vchod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cni vchod 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85" name="Obrázek 9" descr="schody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dy 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287" name="Obrázek 8" descr="tocite schody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cite schody 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" name="Obrázek 7" descr="vytah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ytah 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1" name="Obrázek 6" descr="plosina vytah pro os s omezenou sch pohybu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osina vytah pro os s omezenou sch pohybu 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3" name="Obrázek 5" descr="liziny nebo ramp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ziny nebo rampa 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4" name="Obrázek 4" descr="uzke dvere nebo prujezdy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zke dvere nebo prujezdy 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5" name="Obrázek 3" descr="bezbarierova toalet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zbarierova toaleta 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6" name="Obrázek 2" descr="upravena toalet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pravena toaleta 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7" name="Obrázek 1" descr="standardni toalet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ndardni toaleta o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33" w:rsidRPr="00677A33" w:rsidRDefault="00677A33" w:rsidP="00677A33">
      <w:pPr>
        <w:jc w:val="both"/>
        <w:rPr>
          <w:rFonts w:ascii="Arial" w:hAnsi="Arial" w:cs="Arial"/>
          <w:sz w:val="20"/>
          <w:szCs w:val="20"/>
        </w:rPr>
      </w:pPr>
      <w:r w:rsidRPr="00677A33">
        <w:rPr>
          <w:rFonts w:ascii="Arial" w:hAnsi="Arial" w:cs="Arial"/>
          <w:sz w:val="20"/>
          <w:szCs w:val="20"/>
        </w:rPr>
        <w:t xml:space="preserve">Rekonstruovaný objekt skeletového typu se nachází v klidné obytné čtvrti. Parkování na přilehlém parkovišti, vyhrazené 1x ZTP stání, 1x pro rodiče s dětmi. Mezi parkovištěm a rampou je instalován stojan na kola. Ke vchodu pokračuje podél fasády přímá nájezdová rampa o šířce 1 500 mm, sklon vyhovující, rampa nemá zábradlí. Z chodníku vedou ke vchodu </w:t>
      </w:r>
      <w:r>
        <w:rPr>
          <w:rFonts w:ascii="Arial" w:hAnsi="Arial" w:cs="Arial"/>
          <w:sz w:val="20"/>
          <w:szCs w:val="20"/>
        </w:rPr>
        <w:t xml:space="preserve">+ </w:t>
      </w:r>
      <w:r w:rsidRPr="00677A33">
        <w:rPr>
          <w:rFonts w:ascii="Arial" w:hAnsi="Arial" w:cs="Arial"/>
          <w:sz w:val="20"/>
          <w:szCs w:val="20"/>
        </w:rPr>
        <w:t>4 schody (</w:t>
      </w:r>
      <w:r>
        <w:rPr>
          <w:rFonts w:ascii="Arial" w:hAnsi="Arial" w:cs="Arial"/>
          <w:sz w:val="20"/>
          <w:szCs w:val="20"/>
        </w:rPr>
        <w:t xml:space="preserve">výška </w:t>
      </w:r>
      <w:r w:rsidRPr="00677A33">
        <w:rPr>
          <w:rFonts w:ascii="Arial" w:hAnsi="Arial" w:cs="Arial"/>
          <w:sz w:val="20"/>
          <w:szCs w:val="20"/>
        </w:rPr>
        <w:t xml:space="preserve">16 cm), bez kontrastu, zábradlí </w:t>
      </w:r>
      <w:r>
        <w:rPr>
          <w:rFonts w:ascii="Arial" w:hAnsi="Arial" w:cs="Arial"/>
          <w:sz w:val="20"/>
          <w:szCs w:val="20"/>
        </w:rPr>
        <w:t>je instalováno jen na jedné straně.</w:t>
      </w:r>
      <w:r w:rsidRPr="00677A33">
        <w:rPr>
          <w:rFonts w:ascii="Arial" w:hAnsi="Arial" w:cs="Arial"/>
          <w:sz w:val="20"/>
          <w:szCs w:val="20"/>
        </w:rPr>
        <w:t xml:space="preserve"> </w:t>
      </w:r>
    </w:p>
    <w:p w:rsidR="0086217E" w:rsidRPr="0086217E" w:rsidRDefault="00677A33" w:rsidP="00677A33">
      <w:pPr>
        <w:jc w:val="both"/>
        <w:rPr>
          <w:rFonts w:ascii="Arial" w:hAnsi="Arial" w:cs="Arial"/>
          <w:sz w:val="20"/>
          <w:szCs w:val="20"/>
        </w:rPr>
      </w:pPr>
      <w:r w:rsidRPr="00677A33">
        <w:rPr>
          <w:rFonts w:ascii="Arial" w:hAnsi="Arial" w:cs="Arial"/>
          <w:sz w:val="20"/>
          <w:szCs w:val="20"/>
        </w:rPr>
        <w:t>Vchod do budovy přes prosklené dveře o celkové šířce 134, křídlo 80 cm, dveře jsou opatřené madlem ve výšce 98 cm</w:t>
      </w:r>
      <w:r>
        <w:rPr>
          <w:rFonts w:ascii="Arial" w:hAnsi="Arial" w:cs="Arial"/>
          <w:sz w:val="20"/>
          <w:szCs w:val="20"/>
        </w:rPr>
        <w:t xml:space="preserve">. Upozorňujeme, že </w:t>
      </w:r>
      <w:proofErr w:type="spellStart"/>
      <w:r w:rsidR="00BB6840">
        <w:rPr>
          <w:rFonts w:ascii="Arial" w:hAnsi="Arial" w:cs="Arial"/>
          <w:sz w:val="20"/>
          <w:szCs w:val="20"/>
        </w:rPr>
        <w:t>panikové</w:t>
      </w:r>
      <w:proofErr w:type="spellEnd"/>
      <w:r w:rsidR="00BB6840">
        <w:rPr>
          <w:rFonts w:ascii="Arial" w:hAnsi="Arial" w:cs="Arial"/>
          <w:sz w:val="20"/>
          <w:szCs w:val="20"/>
        </w:rPr>
        <w:t xml:space="preserve"> sklopné</w:t>
      </w:r>
      <w:r>
        <w:rPr>
          <w:rFonts w:ascii="Arial" w:hAnsi="Arial" w:cs="Arial"/>
          <w:sz w:val="20"/>
          <w:szCs w:val="20"/>
        </w:rPr>
        <w:t xml:space="preserve"> m</w:t>
      </w:r>
      <w:r w:rsidRPr="00677A33">
        <w:rPr>
          <w:rFonts w:ascii="Arial" w:hAnsi="Arial" w:cs="Arial"/>
          <w:sz w:val="20"/>
          <w:szCs w:val="20"/>
        </w:rPr>
        <w:t>adlo zužuje průchod dveřmi na 72 cm</w:t>
      </w:r>
      <w:r>
        <w:rPr>
          <w:rFonts w:ascii="Arial" w:hAnsi="Arial" w:cs="Arial"/>
          <w:sz w:val="20"/>
          <w:szCs w:val="20"/>
        </w:rPr>
        <w:t>.</w:t>
      </w:r>
      <w:r w:rsidRPr="00677A33">
        <w:rPr>
          <w:rFonts w:ascii="Arial" w:hAnsi="Arial" w:cs="Arial"/>
          <w:sz w:val="20"/>
          <w:szCs w:val="20"/>
        </w:rPr>
        <w:t xml:space="preserve"> </w:t>
      </w:r>
      <w:r w:rsidRPr="0086217E">
        <w:rPr>
          <w:rFonts w:ascii="Arial" w:hAnsi="Arial" w:cs="Arial"/>
          <w:sz w:val="20"/>
          <w:szCs w:val="20"/>
        </w:rPr>
        <w:t xml:space="preserve">Při otevření dveří </w:t>
      </w:r>
      <w:r w:rsidR="00BB6840" w:rsidRPr="0086217E">
        <w:rPr>
          <w:rFonts w:ascii="Arial" w:hAnsi="Arial" w:cs="Arial"/>
          <w:sz w:val="20"/>
          <w:szCs w:val="20"/>
        </w:rPr>
        <w:t xml:space="preserve">ven </w:t>
      </w:r>
      <w:r w:rsidRPr="0086217E">
        <w:rPr>
          <w:rFonts w:ascii="Arial" w:hAnsi="Arial" w:cs="Arial"/>
          <w:sz w:val="20"/>
          <w:szCs w:val="20"/>
        </w:rPr>
        <w:t xml:space="preserve">se prostor mezi dveřmi a prvním schodem nebezpečně zužuje na 92 cm. </w:t>
      </w:r>
      <w:r w:rsidR="00301307" w:rsidRPr="0086217E">
        <w:rPr>
          <w:rFonts w:ascii="Arial" w:hAnsi="Arial" w:cs="Arial"/>
          <w:sz w:val="20"/>
          <w:szCs w:val="20"/>
        </w:rPr>
        <w:t>Trasa vchodu navazuje na náje</w:t>
      </w:r>
      <w:r w:rsidR="00556EF3">
        <w:rPr>
          <w:rFonts w:ascii="Arial" w:hAnsi="Arial" w:cs="Arial"/>
          <w:sz w:val="20"/>
          <w:szCs w:val="20"/>
        </w:rPr>
        <w:t>zdov</w:t>
      </w:r>
      <w:r w:rsidR="00301307" w:rsidRPr="0086217E">
        <w:rPr>
          <w:rFonts w:ascii="Arial" w:hAnsi="Arial" w:cs="Arial"/>
          <w:sz w:val="20"/>
          <w:szCs w:val="20"/>
        </w:rPr>
        <w:t>ou rampu</w:t>
      </w:r>
      <w:r w:rsidR="0086217E" w:rsidRPr="0086217E">
        <w:rPr>
          <w:rFonts w:ascii="Arial" w:hAnsi="Arial" w:cs="Arial"/>
          <w:sz w:val="20"/>
          <w:szCs w:val="20"/>
        </w:rPr>
        <w:t xml:space="preserve"> a při plném otevření dveří je před vchodem dostatečný prostor</w:t>
      </w:r>
      <w:r w:rsidR="00556EF3">
        <w:rPr>
          <w:rFonts w:ascii="Arial" w:hAnsi="Arial" w:cs="Arial"/>
          <w:sz w:val="20"/>
          <w:szCs w:val="20"/>
        </w:rPr>
        <w:t xml:space="preserve"> pro otočení.</w:t>
      </w:r>
    </w:p>
    <w:p w:rsidR="00677A33" w:rsidRPr="00677A33" w:rsidRDefault="00677A33" w:rsidP="00677A33">
      <w:pPr>
        <w:jc w:val="both"/>
        <w:rPr>
          <w:rFonts w:ascii="Arial" w:hAnsi="Arial" w:cs="Arial"/>
          <w:sz w:val="20"/>
          <w:szCs w:val="20"/>
        </w:rPr>
      </w:pPr>
      <w:r w:rsidRPr="00677A33">
        <w:rPr>
          <w:rFonts w:ascii="Arial" w:hAnsi="Arial" w:cs="Arial"/>
          <w:sz w:val="20"/>
          <w:szCs w:val="20"/>
        </w:rPr>
        <w:t>Pokladna se nachází proti vchodu ve vestibulu, pult ve výšce 110 cm, bez podjezdu. Vstupné pro ZTP je zdarma, platba kartou je možná, indukční smyčka není. U pokladny jsou i</w:t>
      </w:r>
      <w:r w:rsidR="002C3B58">
        <w:rPr>
          <w:rFonts w:ascii="Arial" w:hAnsi="Arial" w:cs="Arial"/>
          <w:sz w:val="20"/>
          <w:szCs w:val="20"/>
        </w:rPr>
        <w:t>nstalovány uzamykatelné skříňky pro odložení věcí.</w:t>
      </w:r>
    </w:p>
    <w:p w:rsidR="00677A33" w:rsidRPr="00677A33" w:rsidRDefault="00677A33" w:rsidP="00677A33">
      <w:pPr>
        <w:jc w:val="both"/>
        <w:rPr>
          <w:rFonts w:ascii="Arial" w:hAnsi="Arial" w:cs="Arial"/>
          <w:sz w:val="20"/>
          <w:szCs w:val="20"/>
        </w:rPr>
      </w:pPr>
      <w:r w:rsidRPr="00677A33">
        <w:rPr>
          <w:rFonts w:ascii="Arial" w:hAnsi="Arial" w:cs="Arial"/>
          <w:sz w:val="20"/>
          <w:szCs w:val="20"/>
        </w:rPr>
        <w:t xml:space="preserve">Do 1. patra k expozici </w:t>
      </w:r>
      <w:r w:rsidR="00FC5B57">
        <w:rPr>
          <w:rFonts w:ascii="Arial" w:hAnsi="Arial" w:cs="Arial"/>
          <w:sz w:val="20"/>
          <w:szCs w:val="20"/>
        </w:rPr>
        <w:t xml:space="preserve">jede výtah </w:t>
      </w:r>
      <w:r w:rsidR="00497AE5">
        <w:rPr>
          <w:rFonts w:ascii="Arial" w:hAnsi="Arial" w:cs="Arial"/>
          <w:sz w:val="20"/>
          <w:szCs w:val="20"/>
        </w:rPr>
        <w:t>od</w:t>
      </w:r>
      <w:r w:rsidR="00FC5B57">
        <w:rPr>
          <w:rFonts w:ascii="Arial" w:hAnsi="Arial" w:cs="Arial"/>
          <w:sz w:val="20"/>
          <w:szCs w:val="20"/>
        </w:rPr>
        <w:t> recepce, nebo stoupá</w:t>
      </w:r>
      <w:r w:rsidRPr="00677A33">
        <w:rPr>
          <w:rFonts w:ascii="Arial" w:hAnsi="Arial" w:cs="Arial"/>
          <w:sz w:val="20"/>
          <w:szCs w:val="20"/>
        </w:rPr>
        <w:t xml:space="preserve"> dvouramenné s</w:t>
      </w:r>
      <w:r w:rsidR="00D93CA6">
        <w:rPr>
          <w:rFonts w:ascii="Arial" w:hAnsi="Arial" w:cs="Arial"/>
          <w:sz w:val="20"/>
          <w:szCs w:val="20"/>
        </w:rPr>
        <w:t>chodiště s oboustrannými madly. Do hlavního výstavního sálu vstupujeme stále o</w:t>
      </w:r>
      <w:r w:rsidRPr="00677A33">
        <w:rPr>
          <w:rFonts w:ascii="Arial" w:hAnsi="Arial" w:cs="Arial"/>
          <w:sz w:val="20"/>
          <w:szCs w:val="20"/>
        </w:rPr>
        <w:t>tevřen</w:t>
      </w:r>
      <w:r w:rsidR="00D93CA6">
        <w:rPr>
          <w:rFonts w:ascii="Arial" w:hAnsi="Arial" w:cs="Arial"/>
          <w:sz w:val="20"/>
          <w:szCs w:val="20"/>
        </w:rPr>
        <w:t>ými</w:t>
      </w:r>
      <w:r w:rsidRPr="00677A33">
        <w:rPr>
          <w:rFonts w:ascii="Arial" w:hAnsi="Arial" w:cs="Arial"/>
          <w:sz w:val="20"/>
          <w:szCs w:val="20"/>
        </w:rPr>
        <w:t xml:space="preserve"> prosklený</w:t>
      </w:r>
      <w:r w:rsidR="00D93CA6">
        <w:rPr>
          <w:rFonts w:ascii="Arial" w:hAnsi="Arial" w:cs="Arial"/>
          <w:sz w:val="20"/>
          <w:szCs w:val="20"/>
        </w:rPr>
        <w:t>mi</w:t>
      </w:r>
      <w:r w:rsidRPr="00677A33">
        <w:rPr>
          <w:rFonts w:ascii="Arial" w:hAnsi="Arial" w:cs="Arial"/>
          <w:sz w:val="20"/>
          <w:szCs w:val="20"/>
        </w:rPr>
        <w:t xml:space="preserve"> dveř</w:t>
      </w:r>
      <w:r w:rsidR="00D93CA6">
        <w:rPr>
          <w:rFonts w:ascii="Arial" w:hAnsi="Arial" w:cs="Arial"/>
          <w:sz w:val="20"/>
          <w:szCs w:val="20"/>
        </w:rPr>
        <w:t xml:space="preserve">mi. </w:t>
      </w:r>
      <w:r w:rsidRPr="00677A33">
        <w:rPr>
          <w:rFonts w:ascii="Arial" w:hAnsi="Arial" w:cs="Arial"/>
          <w:sz w:val="20"/>
          <w:szCs w:val="20"/>
        </w:rPr>
        <w:t xml:space="preserve">V expozici snižují oslnění matné fólie na oknech a umožňují příjemný pobyt i přes ostré sluneční světlo. Popis exponátů </w:t>
      </w:r>
      <w:r w:rsidR="003C7CA0">
        <w:rPr>
          <w:rFonts w:ascii="Arial" w:hAnsi="Arial" w:cs="Arial"/>
          <w:sz w:val="20"/>
          <w:szCs w:val="20"/>
        </w:rPr>
        <w:t xml:space="preserve">je proveden </w:t>
      </w:r>
      <w:r w:rsidRPr="00677A33">
        <w:rPr>
          <w:rFonts w:ascii="Arial" w:hAnsi="Arial" w:cs="Arial"/>
          <w:sz w:val="20"/>
          <w:szCs w:val="20"/>
        </w:rPr>
        <w:t>černou barvou na bílé podlaze. V prostoru jsou k dispozici mobilní odpočinková místa.</w:t>
      </w:r>
    </w:p>
    <w:p w:rsidR="00677A33" w:rsidRPr="00677A33" w:rsidRDefault="00677A33" w:rsidP="00677A33">
      <w:pPr>
        <w:jc w:val="both"/>
        <w:rPr>
          <w:rFonts w:ascii="Arial" w:hAnsi="Arial" w:cs="Arial"/>
          <w:sz w:val="20"/>
          <w:szCs w:val="20"/>
        </w:rPr>
      </w:pPr>
      <w:r w:rsidRPr="00677A33">
        <w:rPr>
          <w:rFonts w:ascii="Arial" w:hAnsi="Arial" w:cs="Arial"/>
          <w:sz w:val="20"/>
          <w:szCs w:val="20"/>
        </w:rPr>
        <w:t>Výtah</w:t>
      </w:r>
    </w:p>
    <w:p w:rsidR="00677A33" w:rsidRPr="00677A33" w:rsidRDefault="00677A33" w:rsidP="00677A33">
      <w:pPr>
        <w:jc w:val="both"/>
        <w:rPr>
          <w:rFonts w:ascii="Arial" w:hAnsi="Arial" w:cs="Arial"/>
          <w:sz w:val="20"/>
          <w:szCs w:val="20"/>
        </w:rPr>
      </w:pPr>
      <w:r w:rsidRPr="00677A33">
        <w:rPr>
          <w:rFonts w:ascii="Arial" w:hAnsi="Arial" w:cs="Arial"/>
          <w:sz w:val="20"/>
          <w:szCs w:val="20"/>
        </w:rPr>
        <w:t>K výtah</w:t>
      </w:r>
      <w:r w:rsidR="006604D8">
        <w:rPr>
          <w:rFonts w:ascii="Arial" w:hAnsi="Arial" w:cs="Arial"/>
          <w:sz w:val="20"/>
          <w:szCs w:val="20"/>
        </w:rPr>
        <w:t>u přistupujeme přímo od recepce</w:t>
      </w:r>
      <w:r w:rsidRPr="00677A33">
        <w:rPr>
          <w:rFonts w:ascii="Arial" w:hAnsi="Arial" w:cs="Arial"/>
          <w:sz w:val="20"/>
          <w:szCs w:val="20"/>
        </w:rPr>
        <w:t xml:space="preserve">. Ovládání výtahu </w:t>
      </w:r>
      <w:r w:rsidR="00A057DF">
        <w:rPr>
          <w:rFonts w:ascii="Arial" w:hAnsi="Arial" w:cs="Arial"/>
          <w:sz w:val="20"/>
          <w:szCs w:val="20"/>
        </w:rPr>
        <w:t>v dosahu</w:t>
      </w:r>
      <w:r w:rsidRPr="00677A33">
        <w:rPr>
          <w:rFonts w:ascii="Arial" w:hAnsi="Arial" w:cs="Arial"/>
          <w:sz w:val="20"/>
          <w:szCs w:val="20"/>
        </w:rPr>
        <w:t>. Vchod do výtahu o šířce 90 cm, kabina široká 100 cm s oboustranným výstupem. Označení ve výtahu – tlačítka podlaží s Braillovým písmem, indukční smyčka u oboustranného dorozumívacího zařízení</w:t>
      </w:r>
      <w:r w:rsidR="00A057DF">
        <w:rPr>
          <w:rFonts w:ascii="Arial" w:hAnsi="Arial" w:cs="Arial"/>
          <w:sz w:val="20"/>
          <w:szCs w:val="20"/>
        </w:rPr>
        <w:t>, vše v dosahu osoby sedící na vozíku</w:t>
      </w:r>
      <w:r w:rsidRPr="00677A33">
        <w:rPr>
          <w:rFonts w:ascii="Arial" w:hAnsi="Arial" w:cs="Arial"/>
          <w:sz w:val="20"/>
          <w:szCs w:val="20"/>
        </w:rPr>
        <w:t xml:space="preserve">. V kabině je instalováno zrcadlo, sklopné sedátko i madlo. </w:t>
      </w:r>
    </w:p>
    <w:p w:rsidR="00677A33" w:rsidRPr="00677A33" w:rsidRDefault="00677A33" w:rsidP="00677A33">
      <w:pPr>
        <w:jc w:val="both"/>
        <w:rPr>
          <w:rFonts w:ascii="Arial" w:hAnsi="Arial" w:cs="Arial"/>
          <w:sz w:val="20"/>
          <w:szCs w:val="20"/>
        </w:rPr>
      </w:pPr>
      <w:r w:rsidRPr="00677A33">
        <w:rPr>
          <w:rFonts w:ascii="Arial" w:hAnsi="Arial" w:cs="Arial"/>
          <w:sz w:val="20"/>
          <w:szCs w:val="20"/>
        </w:rPr>
        <w:t xml:space="preserve">Bezbariérové WC </w:t>
      </w:r>
      <w:r w:rsidR="00AA44D7">
        <w:rPr>
          <w:rFonts w:ascii="Arial" w:hAnsi="Arial" w:cs="Arial"/>
          <w:sz w:val="20"/>
          <w:szCs w:val="20"/>
        </w:rPr>
        <w:t>I.</w:t>
      </w:r>
    </w:p>
    <w:p w:rsidR="00677A33" w:rsidRPr="00677A33" w:rsidRDefault="00677A33" w:rsidP="00677A33">
      <w:pPr>
        <w:jc w:val="both"/>
        <w:rPr>
          <w:rFonts w:ascii="Arial" w:hAnsi="Arial" w:cs="Arial"/>
          <w:sz w:val="20"/>
          <w:szCs w:val="20"/>
        </w:rPr>
      </w:pPr>
      <w:r w:rsidRPr="00677A33">
        <w:rPr>
          <w:rFonts w:ascii="Arial" w:hAnsi="Arial" w:cs="Arial"/>
          <w:sz w:val="20"/>
          <w:szCs w:val="20"/>
        </w:rPr>
        <w:t>Samostatné bezbariérové WC je umístěno v přízemí, přístup</w:t>
      </w:r>
      <w:r w:rsidR="006604D8">
        <w:rPr>
          <w:rFonts w:ascii="Arial" w:hAnsi="Arial" w:cs="Arial"/>
          <w:sz w:val="20"/>
          <w:szCs w:val="20"/>
        </w:rPr>
        <w:t>né</w:t>
      </w:r>
      <w:r w:rsidRPr="00677A33">
        <w:rPr>
          <w:rFonts w:ascii="Arial" w:hAnsi="Arial" w:cs="Arial"/>
          <w:sz w:val="20"/>
          <w:szCs w:val="20"/>
        </w:rPr>
        <w:t xml:space="preserve"> z vestibulu, dveře jsou označeny symbolem vozíčkáře. Dveře se otevírají ven, široké 80 cm, jsou opatřené madlem i zámkem </w:t>
      </w:r>
      <w:proofErr w:type="spellStart"/>
      <w:r w:rsidR="006604D8">
        <w:rPr>
          <w:rFonts w:ascii="Arial" w:hAnsi="Arial" w:cs="Arial"/>
          <w:sz w:val="20"/>
          <w:szCs w:val="20"/>
        </w:rPr>
        <w:t>od</w:t>
      </w:r>
      <w:r w:rsidR="00BA5EF5">
        <w:rPr>
          <w:rFonts w:ascii="Arial" w:hAnsi="Arial" w:cs="Arial"/>
          <w:sz w:val="20"/>
          <w:szCs w:val="20"/>
        </w:rPr>
        <w:t>jistitelným</w:t>
      </w:r>
      <w:proofErr w:type="spellEnd"/>
      <w:r w:rsidRPr="00677A33">
        <w:rPr>
          <w:rFonts w:ascii="Arial" w:hAnsi="Arial" w:cs="Arial"/>
          <w:sz w:val="20"/>
          <w:szCs w:val="20"/>
        </w:rPr>
        <w:t xml:space="preserve"> zvenku. Mísa je zabudována naproti dveřím (výška 47 cm), s bočním nástupem. Kabina má dostatečné rozměry pro plné otočení vozíku. Umyvadlo je s podjezdem a sklopným zrcadlem. V kabině je nouzové signalizační zařízení se správným ovládáním. </w:t>
      </w:r>
    </w:p>
    <w:p w:rsidR="005776F5" w:rsidRPr="005776F5" w:rsidRDefault="00E3621B" w:rsidP="005776F5">
      <w:pPr>
        <w:jc w:val="both"/>
        <w:rPr>
          <w:rFonts w:ascii="Arial" w:hAnsi="Arial" w:cs="Arial"/>
          <w:sz w:val="20"/>
          <w:szCs w:val="20"/>
        </w:rPr>
      </w:pPr>
      <w:r w:rsidRPr="000D3D88">
        <w:rPr>
          <w:rFonts w:ascii="Arial" w:hAnsi="Arial" w:cs="Arial"/>
          <w:noProof/>
          <w:sz w:val="20"/>
          <w:szCs w:val="20"/>
          <w:lang w:eastAsia="cs-CZ"/>
        </w:rPr>
        <w:t xml:space="preserve">Úpravy pro nevidomé a sluchově postižené </w:t>
      </w:r>
      <w:r w:rsidR="00E55228">
        <w:rPr>
          <w:rFonts w:ascii="Arial" w:hAnsi="Arial" w:cs="Arial"/>
          <w:noProof/>
          <w:sz w:val="20"/>
          <w:szCs w:val="20"/>
          <w:lang w:eastAsia="cs-CZ"/>
        </w:rPr>
        <w:t>(</w:t>
      </w:r>
      <w:r w:rsidR="0038075A">
        <w:rPr>
          <w:rFonts w:ascii="Arial" w:hAnsi="Arial" w:cs="Arial"/>
          <w:noProof/>
          <w:sz w:val="20"/>
          <w:szCs w:val="20"/>
          <w:lang w:eastAsia="cs-CZ"/>
        </w:rPr>
        <w:t xml:space="preserve">s výjimkou </w:t>
      </w:r>
      <w:r w:rsidR="00E55228">
        <w:rPr>
          <w:rFonts w:ascii="Arial" w:hAnsi="Arial" w:cs="Arial"/>
          <w:noProof/>
          <w:sz w:val="20"/>
          <w:szCs w:val="20"/>
          <w:lang w:eastAsia="cs-CZ"/>
        </w:rPr>
        <w:t xml:space="preserve">vybavení výtahu) </w:t>
      </w:r>
      <w:r w:rsidRPr="000D3D88">
        <w:rPr>
          <w:rFonts w:ascii="Arial" w:hAnsi="Arial" w:cs="Arial"/>
          <w:noProof/>
          <w:sz w:val="20"/>
          <w:szCs w:val="20"/>
          <w:lang w:eastAsia="cs-CZ"/>
        </w:rPr>
        <w:t>jsme nezaznamenali.</w:t>
      </w:r>
      <w:r w:rsidR="0011338A">
        <w:rPr>
          <w:rFonts w:ascii="Arial" w:hAnsi="Arial" w:cs="Arial"/>
          <w:sz w:val="20"/>
          <w:szCs w:val="20"/>
        </w:rPr>
        <w:t xml:space="preserve"> </w:t>
      </w:r>
    </w:p>
    <w:sectPr w:rsidR="005776F5" w:rsidRPr="005776F5" w:rsidSect="00B429C5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A7C" w:rsidRDefault="00955A7C" w:rsidP="00E34DEA">
      <w:pPr>
        <w:spacing w:after="0" w:line="240" w:lineRule="auto"/>
      </w:pPr>
      <w:r>
        <w:separator/>
      </w:r>
    </w:p>
  </w:endnote>
  <w:endnote w:type="continuationSeparator" w:id="0">
    <w:p w:rsidR="00955A7C" w:rsidRDefault="00955A7C" w:rsidP="00E3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99130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9913012"/>
          <w:docPartObj>
            <w:docPartGallery w:val="Page Numbers (Top of Page)"/>
            <w:docPartUnique/>
          </w:docPartObj>
        </w:sdtPr>
        <w:sdtContent>
          <w:p w:rsidR="00B429C5" w:rsidRPr="00E86391" w:rsidRDefault="00B429C5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6391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6479DA" w:rsidRPr="00E8639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6391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6479DA" w:rsidRPr="00E863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77A33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6479DA" w:rsidRPr="00E863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8639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6479DA" w:rsidRPr="00E8639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6391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6479DA" w:rsidRPr="00E863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77A33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6479DA" w:rsidRPr="00E863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B429C5" w:rsidRDefault="00B429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A7C" w:rsidRDefault="00955A7C" w:rsidP="00E34DEA">
      <w:pPr>
        <w:spacing w:after="0" w:line="240" w:lineRule="auto"/>
      </w:pPr>
      <w:r>
        <w:separator/>
      </w:r>
    </w:p>
  </w:footnote>
  <w:footnote w:type="continuationSeparator" w:id="0">
    <w:p w:rsidR="00955A7C" w:rsidRDefault="00955A7C" w:rsidP="00E34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394"/>
    <w:rsid w:val="00001F85"/>
    <w:rsid w:val="000156A3"/>
    <w:rsid w:val="00020745"/>
    <w:rsid w:val="00044D51"/>
    <w:rsid w:val="00063285"/>
    <w:rsid w:val="0007446D"/>
    <w:rsid w:val="00077646"/>
    <w:rsid w:val="0008033C"/>
    <w:rsid w:val="000920FD"/>
    <w:rsid w:val="000A2C53"/>
    <w:rsid w:val="000C7F52"/>
    <w:rsid w:val="000D0A77"/>
    <w:rsid w:val="000D3D88"/>
    <w:rsid w:val="000F394F"/>
    <w:rsid w:val="000F67C0"/>
    <w:rsid w:val="00110FF6"/>
    <w:rsid w:val="0011338A"/>
    <w:rsid w:val="001173A9"/>
    <w:rsid w:val="001205BF"/>
    <w:rsid w:val="00147F93"/>
    <w:rsid w:val="00166DA9"/>
    <w:rsid w:val="00174777"/>
    <w:rsid w:val="001750F1"/>
    <w:rsid w:val="001842C4"/>
    <w:rsid w:val="0018556E"/>
    <w:rsid w:val="00191A70"/>
    <w:rsid w:val="001B0795"/>
    <w:rsid w:val="001B4B9F"/>
    <w:rsid w:val="001E2CC0"/>
    <w:rsid w:val="001E2D3B"/>
    <w:rsid w:val="002010E2"/>
    <w:rsid w:val="00214C18"/>
    <w:rsid w:val="00234164"/>
    <w:rsid w:val="00242A72"/>
    <w:rsid w:val="00244879"/>
    <w:rsid w:val="0024724D"/>
    <w:rsid w:val="00260E6F"/>
    <w:rsid w:val="00262543"/>
    <w:rsid w:val="00265F1E"/>
    <w:rsid w:val="0028326C"/>
    <w:rsid w:val="00285639"/>
    <w:rsid w:val="00294EF2"/>
    <w:rsid w:val="002A4168"/>
    <w:rsid w:val="002A4F34"/>
    <w:rsid w:val="002A5F50"/>
    <w:rsid w:val="002B0A83"/>
    <w:rsid w:val="002C0D7A"/>
    <w:rsid w:val="002C3B58"/>
    <w:rsid w:val="002D392F"/>
    <w:rsid w:val="00301307"/>
    <w:rsid w:val="00314F6D"/>
    <w:rsid w:val="003166CE"/>
    <w:rsid w:val="00320042"/>
    <w:rsid w:val="0032280E"/>
    <w:rsid w:val="003500A9"/>
    <w:rsid w:val="00352380"/>
    <w:rsid w:val="00365F4E"/>
    <w:rsid w:val="0038075A"/>
    <w:rsid w:val="00390BC6"/>
    <w:rsid w:val="003A29A6"/>
    <w:rsid w:val="003B0613"/>
    <w:rsid w:val="003C7CA0"/>
    <w:rsid w:val="003D21EC"/>
    <w:rsid w:val="003F4412"/>
    <w:rsid w:val="00402454"/>
    <w:rsid w:val="00402B5B"/>
    <w:rsid w:val="00412827"/>
    <w:rsid w:val="0041722E"/>
    <w:rsid w:val="00425CB6"/>
    <w:rsid w:val="00430A93"/>
    <w:rsid w:val="00450FE6"/>
    <w:rsid w:val="00467982"/>
    <w:rsid w:val="00471AC4"/>
    <w:rsid w:val="0047265A"/>
    <w:rsid w:val="00476266"/>
    <w:rsid w:val="0049063F"/>
    <w:rsid w:val="00497AE5"/>
    <w:rsid w:val="004A4093"/>
    <w:rsid w:val="004B0679"/>
    <w:rsid w:val="004B1820"/>
    <w:rsid w:val="004C71FA"/>
    <w:rsid w:val="004C7D9C"/>
    <w:rsid w:val="004D04FD"/>
    <w:rsid w:val="004D18A3"/>
    <w:rsid w:val="004E34D5"/>
    <w:rsid w:val="004E4DBF"/>
    <w:rsid w:val="004E6404"/>
    <w:rsid w:val="004E72ED"/>
    <w:rsid w:val="005053CF"/>
    <w:rsid w:val="0053374A"/>
    <w:rsid w:val="00535252"/>
    <w:rsid w:val="00540CAC"/>
    <w:rsid w:val="005516DC"/>
    <w:rsid w:val="00556EF3"/>
    <w:rsid w:val="00557C78"/>
    <w:rsid w:val="00574BCD"/>
    <w:rsid w:val="005776F5"/>
    <w:rsid w:val="00583E07"/>
    <w:rsid w:val="00583F66"/>
    <w:rsid w:val="0059179B"/>
    <w:rsid w:val="005B3C13"/>
    <w:rsid w:val="005B7B9D"/>
    <w:rsid w:val="005C1FF0"/>
    <w:rsid w:val="005C3B95"/>
    <w:rsid w:val="005F46D1"/>
    <w:rsid w:val="00615CD2"/>
    <w:rsid w:val="006216E6"/>
    <w:rsid w:val="0063293D"/>
    <w:rsid w:val="006400F0"/>
    <w:rsid w:val="00646D83"/>
    <w:rsid w:val="006479DA"/>
    <w:rsid w:val="006604D8"/>
    <w:rsid w:val="00670CF4"/>
    <w:rsid w:val="00673EC6"/>
    <w:rsid w:val="00675295"/>
    <w:rsid w:val="00677A33"/>
    <w:rsid w:val="00686DEB"/>
    <w:rsid w:val="00687829"/>
    <w:rsid w:val="006C0169"/>
    <w:rsid w:val="006E4388"/>
    <w:rsid w:val="007059D6"/>
    <w:rsid w:val="0071719A"/>
    <w:rsid w:val="007207A3"/>
    <w:rsid w:val="00734D60"/>
    <w:rsid w:val="00744FE7"/>
    <w:rsid w:val="007555A1"/>
    <w:rsid w:val="0076092C"/>
    <w:rsid w:val="00762066"/>
    <w:rsid w:val="0077604D"/>
    <w:rsid w:val="007814B6"/>
    <w:rsid w:val="007846BF"/>
    <w:rsid w:val="007B0F2B"/>
    <w:rsid w:val="007C0790"/>
    <w:rsid w:val="007C4DB1"/>
    <w:rsid w:val="007D3624"/>
    <w:rsid w:val="007D7AED"/>
    <w:rsid w:val="007D7E0D"/>
    <w:rsid w:val="008103A4"/>
    <w:rsid w:val="0082067E"/>
    <w:rsid w:val="008264D5"/>
    <w:rsid w:val="00826F90"/>
    <w:rsid w:val="00837AE4"/>
    <w:rsid w:val="0085081A"/>
    <w:rsid w:val="0086217E"/>
    <w:rsid w:val="008632F1"/>
    <w:rsid w:val="008675C0"/>
    <w:rsid w:val="00875399"/>
    <w:rsid w:val="008832EB"/>
    <w:rsid w:val="008A508A"/>
    <w:rsid w:val="008C2002"/>
    <w:rsid w:val="00910DFF"/>
    <w:rsid w:val="00916AE9"/>
    <w:rsid w:val="0093235B"/>
    <w:rsid w:val="009330AE"/>
    <w:rsid w:val="0095590E"/>
    <w:rsid w:val="00955A7C"/>
    <w:rsid w:val="00957F52"/>
    <w:rsid w:val="00970F2D"/>
    <w:rsid w:val="009A40D5"/>
    <w:rsid w:val="009C4522"/>
    <w:rsid w:val="009D16EE"/>
    <w:rsid w:val="009F6511"/>
    <w:rsid w:val="00A057DF"/>
    <w:rsid w:val="00A25660"/>
    <w:rsid w:val="00A26147"/>
    <w:rsid w:val="00A274CC"/>
    <w:rsid w:val="00A30DA8"/>
    <w:rsid w:val="00A719C8"/>
    <w:rsid w:val="00A90AE4"/>
    <w:rsid w:val="00A9702D"/>
    <w:rsid w:val="00AA44D7"/>
    <w:rsid w:val="00AA4D2E"/>
    <w:rsid w:val="00AC47AF"/>
    <w:rsid w:val="00AE130F"/>
    <w:rsid w:val="00AF0955"/>
    <w:rsid w:val="00AF531D"/>
    <w:rsid w:val="00B01558"/>
    <w:rsid w:val="00B038C3"/>
    <w:rsid w:val="00B07394"/>
    <w:rsid w:val="00B16585"/>
    <w:rsid w:val="00B22552"/>
    <w:rsid w:val="00B429C5"/>
    <w:rsid w:val="00B43289"/>
    <w:rsid w:val="00B45AAC"/>
    <w:rsid w:val="00B509C5"/>
    <w:rsid w:val="00B60EBB"/>
    <w:rsid w:val="00B626B4"/>
    <w:rsid w:val="00B71D68"/>
    <w:rsid w:val="00B848E9"/>
    <w:rsid w:val="00B85338"/>
    <w:rsid w:val="00BA42D7"/>
    <w:rsid w:val="00BA5EF5"/>
    <w:rsid w:val="00BA7E55"/>
    <w:rsid w:val="00BB0BFB"/>
    <w:rsid w:val="00BB6840"/>
    <w:rsid w:val="00BF3B80"/>
    <w:rsid w:val="00C0011F"/>
    <w:rsid w:val="00C11682"/>
    <w:rsid w:val="00C13AB3"/>
    <w:rsid w:val="00C27275"/>
    <w:rsid w:val="00C32E79"/>
    <w:rsid w:val="00C41C70"/>
    <w:rsid w:val="00C63D4B"/>
    <w:rsid w:val="00C77A41"/>
    <w:rsid w:val="00C91EAF"/>
    <w:rsid w:val="00CD6DCD"/>
    <w:rsid w:val="00CD7771"/>
    <w:rsid w:val="00D074E9"/>
    <w:rsid w:val="00D16D7D"/>
    <w:rsid w:val="00D218D6"/>
    <w:rsid w:val="00D244DB"/>
    <w:rsid w:val="00D34741"/>
    <w:rsid w:val="00D418E8"/>
    <w:rsid w:val="00D57AEC"/>
    <w:rsid w:val="00D634C1"/>
    <w:rsid w:val="00D6391E"/>
    <w:rsid w:val="00D84B34"/>
    <w:rsid w:val="00D852B0"/>
    <w:rsid w:val="00D93CA6"/>
    <w:rsid w:val="00DA5105"/>
    <w:rsid w:val="00DC2B50"/>
    <w:rsid w:val="00DC45E3"/>
    <w:rsid w:val="00DC77E8"/>
    <w:rsid w:val="00DD36DE"/>
    <w:rsid w:val="00DF1D6B"/>
    <w:rsid w:val="00E0008D"/>
    <w:rsid w:val="00E16BA9"/>
    <w:rsid w:val="00E17195"/>
    <w:rsid w:val="00E25AAC"/>
    <w:rsid w:val="00E307C4"/>
    <w:rsid w:val="00E32E19"/>
    <w:rsid w:val="00E34DEA"/>
    <w:rsid w:val="00E3621B"/>
    <w:rsid w:val="00E41647"/>
    <w:rsid w:val="00E4686A"/>
    <w:rsid w:val="00E510EE"/>
    <w:rsid w:val="00E55228"/>
    <w:rsid w:val="00E73180"/>
    <w:rsid w:val="00E81FE8"/>
    <w:rsid w:val="00EA6ADA"/>
    <w:rsid w:val="00EB0FE9"/>
    <w:rsid w:val="00EC4027"/>
    <w:rsid w:val="00EF2448"/>
    <w:rsid w:val="00EF31A6"/>
    <w:rsid w:val="00F00B43"/>
    <w:rsid w:val="00F00D97"/>
    <w:rsid w:val="00F100C9"/>
    <w:rsid w:val="00F1191C"/>
    <w:rsid w:val="00F15163"/>
    <w:rsid w:val="00F27143"/>
    <w:rsid w:val="00F506DA"/>
    <w:rsid w:val="00F54393"/>
    <w:rsid w:val="00F63E75"/>
    <w:rsid w:val="00F64098"/>
    <w:rsid w:val="00F83120"/>
    <w:rsid w:val="00FA0499"/>
    <w:rsid w:val="00FC5B57"/>
    <w:rsid w:val="00FD5703"/>
    <w:rsid w:val="00FF559D"/>
    <w:rsid w:val="00FF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394"/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07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394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39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33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20</cp:revision>
  <dcterms:created xsi:type="dcterms:W3CDTF">2022-11-29T21:08:00Z</dcterms:created>
  <dcterms:modified xsi:type="dcterms:W3CDTF">2022-11-30T18:43:00Z</dcterms:modified>
</cp:coreProperties>
</file>